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84F57" w14:textId="77777777" w:rsidR="0081311D" w:rsidRDefault="009126AF" w:rsidP="009126AF">
      <w:pPr>
        <w:widowControl/>
        <w:jc w:val="center"/>
        <w:rPr>
          <w:rFonts w:ascii="宋体" w:eastAsia="宋体" w:hAnsi="宋体" w:cs="宋体" w:hint="eastAsia"/>
          <w:b/>
          <w:bCs/>
          <w:kern w:val="0"/>
          <w:sz w:val="39"/>
          <w:szCs w:val="39"/>
        </w:rPr>
      </w:pPr>
      <w:r w:rsidRPr="0081311D">
        <w:rPr>
          <w:rFonts w:ascii="宋体" w:eastAsia="宋体" w:hAnsi="宋体" w:cs="宋体" w:hint="eastAsia"/>
          <w:b/>
          <w:bCs/>
          <w:kern w:val="0"/>
          <w:sz w:val="39"/>
          <w:szCs w:val="39"/>
        </w:rPr>
        <w:t>国家艺术基金青年艺术创作人才资助项目</w:t>
      </w:r>
    </w:p>
    <w:p w14:paraId="797E3E47" w14:textId="13BC2F4A" w:rsidR="009126AF" w:rsidRPr="0081311D" w:rsidRDefault="009126AF" w:rsidP="0081311D">
      <w:pPr>
        <w:widowControl/>
        <w:jc w:val="center"/>
        <w:rPr>
          <w:rFonts w:ascii="宋体" w:eastAsia="宋体" w:hAnsi="宋体" w:cs="宋体"/>
          <w:b/>
          <w:bCs/>
          <w:kern w:val="0"/>
          <w:sz w:val="39"/>
          <w:szCs w:val="39"/>
        </w:rPr>
      </w:pPr>
      <w:r w:rsidRPr="0081311D">
        <w:rPr>
          <w:rFonts w:ascii="宋体" w:eastAsia="宋体" w:hAnsi="宋体" w:cs="宋体" w:hint="eastAsia"/>
          <w:b/>
          <w:bCs/>
          <w:kern w:val="0"/>
          <w:sz w:val="39"/>
          <w:szCs w:val="39"/>
        </w:rPr>
        <w:t>经费管理办法（试行）</w:t>
      </w:r>
    </w:p>
    <w:p w14:paraId="4323397B" w14:textId="356EE8E6" w:rsidR="009126AF" w:rsidRPr="009126AF" w:rsidRDefault="009126AF" w:rsidP="009126AF">
      <w:pPr>
        <w:widowControl/>
        <w:shd w:val="clear" w:color="auto" w:fill="FFFFFF"/>
        <w:ind w:firstLine="480"/>
        <w:jc w:val="center"/>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第一章 总则</w:t>
      </w:r>
    </w:p>
    <w:p w14:paraId="3960FB6D" w14:textId="6D4CF945"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第一条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为规范和加强国家艺术基金（以下简称“艺术基金”）青年艺术创作人才资助项目经费管理，提高资金使用效益，根据《中共中央国务院关于全面实施预算绩效管理的意见》《国家艺术基金章程》《国家艺术基金财务管理办法》及国家有关财务规章制度规定，制定本办法。</w:t>
      </w:r>
    </w:p>
    <w:p w14:paraId="589A52F9" w14:textId="512B7994"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第二条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艺术基金的资金，主要来自中央财政拨款，同时依法接受国（境）内外自然人、法人或者其他组织的捐赠。</w:t>
      </w:r>
    </w:p>
    <w:p w14:paraId="336DF426" w14:textId="445BB81C"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第三条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本办法所称项目经费，是指艺术基金用于资助40周岁以下青年艺术人才创作活动的专项经费。</w:t>
      </w:r>
    </w:p>
    <w:p w14:paraId="1C3C198B" w14:textId="236EF26D"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第四条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项目经费管理和使用各方应承担如下责任：</w:t>
      </w:r>
    </w:p>
    <w:p w14:paraId="48ACA4C4"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（一）国家艺术基金理事会作为艺术基金的决策机构，承担年度资助方案的审定和项目经费使用情况的审查职责。</w:t>
      </w:r>
    </w:p>
    <w:p w14:paraId="2239C0AE"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（二）国家艺术基金专家</w:t>
      </w:r>
      <w:proofErr w:type="gramStart"/>
      <w:r w:rsidRPr="009126AF">
        <w:rPr>
          <w:rFonts w:ascii="仿宋" w:eastAsia="仿宋" w:hAnsi="仿宋" w:cs="宋体" w:hint="eastAsia"/>
          <w:color w:val="333333"/>
          <w:kern w:val="0"/>
          <w:sz w:val="32"/>
          <w:szCs w:val="32"/>
        </w:rPr>
        <w:t>库专家</w:t>
      </w:r>
      <w:proofErr w:type="gramEnd"/>
      <w:r w:rsidRPr="009126AF">
        <w:rPr>
          <w:rFonts w:ascii="仿宋" w:eastAsia="仿宋" w:hAnsi="仿宋" w:cs="宋体" w:hint="eastAsia"/>
          <w:color w:val="333333"/>
          <w:kern w:val="0"/>
          <w:sz w:val="32"/>
          <w:szCs w:val="32"/>
        </w:rPr>
        <w:t>承担咨询、评审、监督等相关职责。</w:t>
      </w:r>
    </w:p>
    <w:p w14:paraId="1CA1A602"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（三）国家艺术基金管理中心作为艺术基金管理和组织实施单位，承担对申报实施项目的政治导向管理、项目质量管理和经费使用的直接监督指导责任。</w:t>
      </w:r>
    </w:p>
    <w:p w14:paraId="006A698E"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lastRenderedPageBreak/>
        <w:t>（四）项目主体按照“谁申报谁负责、谁实施谁负责”的原则，承担对申报实施项目的政治导向管理、项目质量管理和经费使用的主体责任。</w:t>
      </w:r>
    </w:p>
    <w:p w14:paraId="0D60235D" w14:textId="10E26199"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第五条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青年艺术创作人才资助项目实行定额资助。</w:t>
      </w:r>
    </w:p>
    <w:p w14:paraId="3C3951CC" w14:textId="040AEE12"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第六条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项目经费管理和使用执行如下原则：</w:t>
      </w:r>
    </w:p>
    <w:p w14:paraId="7E03C820"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（一）科学安排，合理配置。项目主体应严格按照项目的实施计划和目标任务，科学合理地编制和安排预算。严格会议、差旅、培训等预算管理，控制相关支出规模。</w:t>
      </w:r>
    </w:p>
    <w:p w14:paraId="72216104"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（二）专款专用，讲求绩效。项目经费应由项目主体具体管理，确保专款专用，做到全过程绩效管理，提高资金使用效益。</w:t>
      </w:r>
    </w:p>
    <w:p w14:paraId="14BE2FD9" w14:textId="325BEE00" w:rsidR="009126AF" w:rsidRPr="009126AF" w:rsidRDefault="009126AF" w:rsidP="0081311D">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（三）一次核定，分期支付。项目经费根据项目类型、艺术门类的创作规律及实际情况，按程序一次核定，按50％、50％的比例分立项款、</w:t>
      </w:r>
      <w:proofErr w:type="gramStart"/>
      <w:r w:rsidRPr="009126AF">
        <w:rPr>
          <w:rFonts w:ascii="仿宋" w:eastAsia="仿宋" w:hAnsi="仿宋" w:cs="宋体" w:hint="eastAsia"/>
          <w:color w:val="333333"/>
          <w:kern w:val="0"/>
          <w:sz w:val="32"/>
          <w:szCs w:val="32"/>
        </w:rPr>
        <w:t>结项款两</w:t>
      </w:r>
      <w:proofErr w:type="gramEnd"/>
      <w:r w:rsidRPr="009126AF">
        <w:rPr>
          <w:rFonts w:ascii="仿宋" w:eastAsia="仿宋" w:hAnsi="仿宋" w:cs="宋体" w:hint="eastAsia"/>
          <w:color w:val="333333"/>
          <w:kern w:val="0"/>
          <w:sz w:val="32"/>
          <w:szCs w:val="32"/>
        </w:rPr>
        <w:t>批次支付。</w:t>
      </w:r>
    </w:p>
    <w:p w14:paraId="5F3E5BB7" w14:textId="34B2D858" w:rsidR="009126AF" w:rsidRPr="009126AF" w:rsidRDefault="009126AF" w:rsidP="009126AF">
      <w:pPr>
        <w:widowControl/>
        <w:shd w:val="clear" w:color="auto" w:fill="FFFFFF"/>
        <w:ind w:firstLine="480"/>
        <w:jc w:val="center"/>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第二章 项目经费开支范围</w:t>
      </w:r>
    </w:p>
    <w:p w14:paraId="76516B0C" w14:textId="60904E40"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第七条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项目经费支出是指与项目组织实施活动相关的、由项目资金支付的各项费用支出。</w:t>
      </w:r>
    </w:p>
    <w:p w14:paraId="2C8496F5" w14:textId="5910934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第八条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舞台类（个人）艺术创作项目的经费，具体用于：</w:t>
      </w:r>
    </w:p>
    <w:p w14:paraId="75A0088C"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（一）创作费是指在作品创作过程中发生的各项费用。包括：</w:t>
      </w:r>
    </w:p>
    <w:p w14:paraId="1774D102"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1．资料收集费：指作品创作过程中书籍、音像等资料采集、复印、翻拍、翻译的费用；</w:t>
      </w:r>
    </w:p>
    <w:p w14:paraId="7782EDCC"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lastRenderedPageBreak/>
        <w:t>2．材料购置费：指作品创作过程中必须的设备耗材、原材料的采购及运输、装卸、整理、保管的费用；</w:t>
      </w:r>
    </w:p>
    <w:p w14:paraId="74E9B486"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3．采风考察观摩费：指项目主体在创作过程中开展必要的体验生活、采风调研、学习考察观摩等活动的费用；</w:t>
      </w:r>
    </w:p>
    <w:p w14:paraId="44BF7DFA"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4．专家指导费：指作品创作过程中发生的专家指导、咨询及论证的费用；</w:t>
      </w:r>
    </w:p>
    <w:p w14:paraId="0150BF0F"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5．设计制作费：指作品创作及制作环节发生的服装、道具、造型、音乐等设计制作活动费用；</w:t>
      </w:r>
    </w:p>
    <w:p w14:paraId="11BE50C2"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6．表演创作费：指演员塑造舞台艺术形象，进行审美意象创造以及舞台呈现的费用。</w:t>
      </w:r>
    </w:p>
    <w:p w14:paraId="4D2CDFB2"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（二）演出费是指在作品进行演出等过程中发生的各项费用。包括：</w:t>
      </w:r>
    </w:p>
    <w:p w14:paraId="4D8E7E00"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1．录音录像费：</w:t>
      </w:r>
      <w:proofErr w:type="gramStart"/>
      <w:r w:rsidRPr="009126AF">
        <w:rPr>
          <w:rFonts w:ascii="仿宋" w:eastAsia="仿宋" w:hAnsi="仿宋" w:cs="宋体" w:hint="eastAsia"/>
          <w:color w:val="333333"/>
          <w:kern w:val="0"/>
          <w:sz w:val="32"/>
          <w:szCs w:val="32"/>
        </w:rPr>
        <w:t>指创作</w:t>
      </w:r>
      <w:proofErr w:type="gramEnd"/>
      <w:r w:rsidRPr="009126AF">
        <w:rPr>
          <w:rFonts w:ascii="仿宋" w:eastAsia="仿宋" w:hAnsi="仿宋" w:cs="宋体" w:hint="eastAsia"/>
          <w:color w:val="333333"/>
          <w:kern w:val="0"/>
          <w:sz w:val="32"/>
          <w:szCs w:val="32"/>
        </w:rPr>
        <w:t>作品排练演出期间发生的录音、录像以及后期剪辑、音像成品制作等费用；</w:t>
      </w:r>
    </w:p>
    <w:p w14:paraId="6E84AF59"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2．差旅费：指作品展演期间发生的相关人员城市间的飞机、火车、轮船或租用车辆的费用以及市内交通费、住宿费和伙食费。</w:t>
      </w:r>
    </w:p>
    <w:p w14:paraId="7347D201" w14:textId="48D6D4BA"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第九条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美术类（个人）艺术创作项目的经费，具体用于：</w:t>
      </w:r>
    </w:p>
    <w:p w14:paraId="25506720"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（一）创作费是指在作品创作过程中发生的各项费用。包括：</w:t>
      </w:r>
    </w:p>
    <w:p w14:paraId="18910CB8"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1．资料收集费：指作品创作过程中书籍、音像等资料采集、复印、翻拍、翻译的费用；</w:t>
      </w:r>
    </w:p>
    <w:p w14:paraId="0FA1BD5F"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lastRenderedPageBreak/>
        <w:t>2．材料购置费：指作品创作过程中必须的设备耗材、原材料的采购及运输、装卸、整理、保管的费用；</w:t>
      </w:r>
    </w:p>
    <w:p w14:paraId="4AEAA6C6"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3．采风考察观摩费：指项目主体在创作过程中开展必要的体验生活、采风调研、学习考察观摩等活动的费用；</w:t>
      </w:r>
    </w:p>
    <w:p w14:paraId="270CDBCA"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4．专家指导费：指作品创作过程中发生的专家指导、咨询及论证的费用；</w:t>
      </w:r>
    </w:p>
    <w:p w14:paraId="33589067"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5．设计制作费：指作品创作及制作环节发生的美术设计、编辑、装裱、印制（洗印）等活动的费用。</w:t>
      </w:r>
    </w:p>
    <w:p w14:paraId="67A885D9"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（二）展览费是指在作品进行展览等过程中发生的各项费用。包括：</w:t>
      </w:r>
    </w:p>
    <w:p w14:paraId="4723CC25"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1．展览展示费：</w:t>
      </w:r>
      <w:proofErr w:type="gramStart"/>
      <w:r w:rsidRPr="009126AF">
        <w:rPr>
          <w:rFonts w:ascii="仿宋" w:eastAsia="仿宋" w:hAnsi="仿宋" w:cs="宋体" w:hint="eastAsia"/>
          <w:color w:val="333333"/>
          <w:kern w:val="0"/>
          <w:sz w:val="32"/>
          <w:szCs w:val="32"/>
        </w:rPr>
        <w:t>指创作</w:t>
      </w:r>
      <w:proofErr w:type="gramEnd"/>
      <w:r w:rsidRPr="009126AF">
        <w:rPr>
          <w:rFonts w:ascii="仿宋" w:eastAsia="仿宋" w:hAnsi="仿宋" w:cs="宋体" w:hint="eastAsia"/>
          <w:color w:val="333333"/>
          <w:kern w:val="0"/>
          <w:sz w:val="32"/>
          <w:szCs w:val="32"/>
        </w:rPr>
        <w:t>作品的布展展览以及与之相关展示活动的费用；</w:t>
      </w:r>
    </w:p>
    <w:p w14:paraId="435B7A03"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2．印刷装裱费：</w:t>
      </w:r>
      <w:proofErr w:type="gramStart"/>
      <w:r w:rsidRPr="009126AF">
        <w:rPr>
          <w:rFonts w:ascii="仿宋" w:eastAsia="仿宋" w:hAnsi="仿宋" w:cs="宋体" w:hint="eastAsia"/>
          <w:color w:val="333333"/>
          <w:kern w:val="0"/>
          <w:sz w:val="32"/>
          <w:szCs w:val="32"/>
        </w:rPr>
        <w:t>指创作</w:t>
      </w:r>
      <w:proofErr w:type="gramEnd"/>
      <w:r w:rsidRPr="009126AF">
        <w:rPr>
          <w:rFonts w:ascii="仿宋" w:eastAsia="仿宋" w:hAnsi="仿宋" w:cs="宋体" w:hint="eastAsia"/>
          <w:color w:val="333333"/>
          <w:kern w:val="0"/>
          <w:sz w:val="32"/>
          <w:szCs w:val="32"/>
        </w:rPr>
        <w:t>作品资料编辑成册、装裱印制及出版的费用；</w:t>
      </w:r>
    </w:p>
    <w:p w14:paraId="2764A560"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3．差旅费：指作品展示期间发生的相关人员城市间的飞机、火车、轮船或租用车辆的费用以及市内交通费、住宿费和伙食费。差旅费的开支标准应当按照国家有关规定执行。</w:t>
      </w:r>
    </w:p>
    <w:p w14:paraId="52649E56" w14:textId="11C1C4C9" w:rsidR="009126AF" w:rsidRPr="0081311D" w:rsidRDefault="009126AF" w:rsidP="0081311D">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第十条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其他类（个人）艺术创作项目的经费，参照第九条美术类（个人）艺术创作项目经费开支规定执行。</w:t>
      </w:r>
    </w:p>
    <w:p w14:paraId="791B37AF" w14:textId="2906C6A8" w:rsidR="009126AF" w:rsidRPr="009126AF" w:rsidRDefault="009126AF" w:rsidP="009126AF">
      <w:pPr>
        <w:widowControl/>
        <w:shd w:val="clear" w:color="auto" w:fill="FFFFFF"/>
        <w:ind w:firstLine="480"/>
        <w:jc w:val="center"/>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第三章 项目经费预算编制和支付</w:t>
      </w:r>
    </w:p>
    <w:p w14:paraId="24342ABD" w14:textId="0B81D649"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第十一条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项目主体根据艺术基金年度资助项目申报指南的要求，以及资助项目申报书中预算申请表的开支范围，</w:t>
      </w:r>
      <w:r w:rsidRPr="009126AF">
        <w:rPr>
          <w:rFonts w:ascii="仿宋" w:eastAsia="仿宋" w:hAnsi="仿宋" w:cs="宋体" w:hint="eastAsia"/>
          <w:color w:val="333333"/>
          <w:kern w:val="0"/>
          <w:sz w:val="32"/>
          <w:szCs w:val="32"/>
        </w:rPr>
        <w:lastRenderedPageBreak/>
        <w:t>结合项目实施计划，合理安排项目执行各阶段的经费需求，确定预算内容和开支额度，如实填报预算。</w:t>
      </w:r>
    </w:p>
    <w:p w14:paraId="00585960" w14:textId="027FEA19"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第十二条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经费预算编制应坚持目标相关性、政策相符性和支出合理性原则，由项目主体编制。</w:t>
      </w:r>
    </w:p>
    <w:p w14:paraId="58695AA4" w14:textId="5D01C614"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第十三条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国家艺术基金管理中心组织专家根据不同类型创作项目定额资助标准，对申报项目预算进行核定，提出建议资助金额，报国家艺术基金理事会审定。</w:t>
      </w:r>
    </w:p>
    <w:p w14:paraId="5CC72A35" w14:textId="5D38883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第十四条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项目主体应根据批复后的资助金额调整项目预算方案，并与国家艺术基金管理中心</w:t>
      </w:r>
      <w:proofErr w:type="gramStart"/>
      <w:r w:rsidRPr="009126AF">
        <w:rPr>
          <w:rFonts w:ascii="仿宋" w:eastAsia="仿宋" w:hAnsi="仿宋" w:cs="宋体" w:hint="eastAsia"/>
          <w:color w:val="333333"/>
          <w:kern w:val="0"/>
          <w:sz w:val="32"/>
          <w:szCs w:val="32"/>
        </w:rPr>
        <w:t>签定</w:t>
      </w:r>
      <w:proofErr w:type="gramEnd"/>
      <w:r w:rsidRPr="009126AF">
        <w:rPr>
          <w:rFonts w:ascii="仿宋" w:eastAsia="仿宋" w:hAnsi="仿宋" w:cs="宋体" w:hint="eastAsia"/>
          <w:color w:val="333333"/>
          <w:kern w:val="0"/>
          <w:sz w:val="32"/>
          <w:szCs w:val="32"/>
        </w:rPr>
        <w:t>《国家艺术基金资助项目协议书》。</w:t>
      </w:r>
    </w:p>
    <w:p w14:paraId="41F6AE50" w14:textId="3F8939BE" w:rsidR="009126AF" w:rsidRPr="009126AF" w:rsidRDefault="009126AF" w:rsidP="0081311D">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第十五条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国家艺术基金管理中心与项目主体</w:t>
      </w:r>
      <w:proofErr w:type="gramStart"/>
      <w:r w:rsidRPr="009126AF">
        <w:rPr>
          <w:rFonts w:ascii="仿宋" w:eastAsia="仿宋" w:hAnsi="仿宋" w:cs="宋体" w:hint="eastAsia"/>
          <w:color w:val="333333"/>
          <w:kern w:val="0"/>
          <w:sz w:val="32"/>
          <w:szCs w:val="32"/>
        </w:rPr>
        <w:t>签定</w:t>
      </w:r>
      <w:proofErr w:type="gramEnd"/>
      <w:r w:rsidRPr="009126AF">
        <w:rPr>
          <w:rFonts w:ascii="仿宋" w:eastAsia="仿宋" w:hAnsi="仿宋" w:cs="宋体" w:hint="eastAsia"/>
          <w:color w:val="333333"/>
          <w:kern w:val="0"/>
          <w:sz w:val="32"/>
          <w:szCs w:val="32"/>
        </w:rPr>
        <w:t>《国家艺术基金资助项目协议书》后，支付立项经费。结合项目监督</w:t>
      </w:r>
      <w:proofErr w:type="gramStart"/>
      <w:r w:rsidRPr="009126AF">
        <w:rPr>
          <w:rFonts w:ascii="仿宋" w:eastAsia="仿宋" w:hAnsi="仿宋" w:cs="宋体" w:hint="eastAsia"/>
          <w:color w:val="333333"/>
          <w:kern w:val="0"/>
          <w:sz w:val="32"/>
          <w:szCs w:val="32"/>
        </w:rPr>
        <w:t>和结项验收</w:t>
      </w:r>
      <w:proofErr w:type="gramEnd"/>
      <w:r w:rsidRPr="009126AF">
        <w:rPr>
          <w:rFonts w:ascii="仿宋" w:eastAsia="仿宋" w:hAnsi="仿宋" w:cs="宋体" w:hint="eastAsia"/>
          <w:color w:val="333333"/>
          <w:kern w:val="0"/>
          <w:sz w:val="32"/>
          <w:szCs w:val="32"/>
        </w:rPr>
        <w:t>情况，支付项目后续经费。项目经费的支付按照国库集中支付制度有关规定执行。</w:t>
      </w:r>
    </w:p>
    <w:p w14:paraId="2F89F8E6" w14:textId="51F094D2" w:rsidR="009126AF" w:rsidRPr="009126AF" w:rsidRDefault="009126AF" w:rsidP="009126AF">
      <w:pPr>
        <w:widowControl/>
        <w:shd w:val="clear" w:color="auto" w:fill="FFFFFF"/>
        <w:ind w:firstLine="480"/>
        <w:jc w:val="center"/>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第四章</w:t>
      </w:r>
      <w:r w:rsidR="0081311D">
        <w:rPr>
          <w:rFonts w:ascii="宋体" w:eastAsia="宋体" w:hAnsi="宋体" w:cs="宋体" w:hint="eastAsia"/>
          <w:b/>
          <w:bCs/>
          <w:color w:val="333333"/>
          <w:kern w:val="0"/>
          <w:sz w:val="32"/>
          <w:szCs w:val="32"/>
        </w:rPr>
        <w:t xml:space="preserve"> </w:t>
      </w:r>
      <w:r w:rsidRPr="009126AF">
        <w:rPr>
          <w:rFonts w:ascii="宋体" w:eastAsia="宋体" w:hAnsi="宋体" w:cs="宋体" w:hint="eastAsia"/>
          <w:b/>
          <w:bCs/>
          <w:color w:val="333333"/>
          <w:kern w:val="0"/>
          <w:sz w:val="32"/>
          <w:szCs w:val="32"/>
        </w:rPr>
        <w:t xml:space="preserve"> 项目经费管理与监督</w:t>
      </w:r>
    </w:p>
    <w:p w14:paraId="5B1E4E1E" w14:textId="7037625C"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第十六条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项目主体须严格按照预算执行。各科目支出额度，一般不予调整，确需调整的应按程序报国家艺术基金管理中心备案。</w:t>
      </w:r>
    </w:p>
    <w:p w14:paraId="34A7C870" w14:textId="0A804365"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第十七条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项目经费支出过程中，对于交通费、住宿费等国家已出台相关支出标准的，参照国家规定的标准执行。</w:t>
      </w:r>
    </w:p>
    <w:p w14:paraId="23C14DFA" w14:textId="00D256CF"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第十八条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项目经费不得用于支付各种罚款、捐款、赞助、投资等支出，不得用于国家规定禁止列支的其他支出。</w:t>
      </w:r>
    </w:p>
    <w:p w14:paraId="49D928C4" w14:textId="100D5BBF"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lastRenderedPageBreak/>
        <w:t>第十九条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项目实施期间，项目主体应定期将项目预算执行情况报送国家艺术基金管理中心。</w:t>
      </w:r>
    </w:p>
    <w:p w14:paraId="2AFDC2D8" w14:textId="7ABB525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第二十条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项目完成后，项目主体应根据国家艺术基金管理</w:t>
      </w:r>
      <w:proofErr w:type="gramStart"/>
      <w:r w:rsidRPr="009126AF">
        <w:rPr>
          <w:rFonts w:ascii="仿宋" w:eastAsia="仿宋" w:hAnsi="仿宋" w:cs="宋体" w:hint="eastAsia"/>
          <w:color w:val="333333"/>
          <w:kern w:val="0"/>
          <w:sz w:val="32"/>
          <w:szCs w:val="32"/>
        </w:rPr>
        <w:t>中心结项验收</w:t>
      </w:r>
      <w:proofErr w:type="gramEnd"/>
      <w:r w:rsidRPr="009126AF">
        <w:rPr>
          <w:rFonts w:ascii="仿宋" w:eastAsia="仿宋" w:hAnsi="仿宋" w:cs="宋体" w:hint="eastAsia"/>
          <w:color w:val="333333"/>
          <w:kern w:val="0"/>
          <w:sz w:val="32"/>
          <w:szCs w:val="32"/>
        </w:rPr>
        <w:t>有关规定，编报</w:t>
      </w:r>
      <w:proofErr w:type="gramStart"/>
      <w:r w:rsidRPr="009126AF">
        <w:rPr>
          <w:rFonts w:ascii="仿宋" w:eastAsia="仿宋" w:hAnsi="仿宋" w:cs="宋体" w:hint="eastAsia"/>
          <w:color w:val="333333"/>
          <w:kern w:val="0"/>
          <w:sz w:val="32"/>
          <w:szCs w:val="32"/>
        </w:rPr>
        <w:t>项目结项材料</w:t>
      </w:r>
      <w:proofErr w:type="gramEnd"/>
      <w:r w:rsidRPr="009126AF">
        <w:rPr>
          <w:rFonts w:ascii="仿宋" w:eastAsia="仿宋" w:hAnsi="仿宋" w:cs="宋体" w:hint="eastAsia"/>
          <w:color w:val="333333"/>
          <w:kern w:val="0"/>
          <w:sz w:val="32"/>
          <w:szCs w:val="32"/>
        </w:rPr>
        <w:t>。</w:t>
      </w:r>
    </w:p>
    <w:p w14:paraId="64289190" w14:textId="281E77BD"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第二十一条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国家艺术基金管理中心对违反本办法及国家艺术基金其他有关管理规定的项目主体，视情节轻重分别采取书面警告、通报批评、停止拨款、撤销项目、追回全部已拨经费、暂停或取消申报资格等处理措施。</w:t>
      </w:r>
    </w:p>
    <w:p w14:paraId="03652AE4"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有下列情形之一的，报国家艺术基金理事会批准后追回已拨经费，并暂停项目主体三年以上申报资格，涉嫌违法违纪的，移交有关部门处理。</w:t>
      </w:r>
    </w:p>
    <w:p w14:paraId="5B2B1DAE"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（一）项目内容及实施过程中出现政治导向问题；</w:t>
      </w:r>
    </w:p>
    <w:p w14:paraId="201E8689"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（二）严重违反财务会计制度规定；</w:t>
      </w:r>
    </w:p>
    <w:p w14:paraId="4E1C05F1"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（三）截留、挪用、侵占、套取项目经费；</w:t>
      </w:r>
    </w:p>
    <w:p w14:paraId="241CD607"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（四）拒不配合国家艺术基金管理中心项目管理工作；</w:t>
      </w:r>
    </w:p>
    <w:p w14:paraId="014B9E78" w14:textId="77777777"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仿宋" w:eastAsia="仿宋" w:hAnsi="仿宋" w:cs="宋体" w:hint="eastAsia"/>
          <w:color w:val="333333"/>
          <w:kern w:val="0"/>
          <w:sz w:val="32"/>
          <w:szCs w:val="32"/>
        </w:rPr>
        <w:t>（五）其他违反国家法律、法规及党规党纪的事项。</w:t>
      </w:r>
    </w:p>
    <w:p w14:paraId="4D0AFF7D" w14:textId="5C7A6A23"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第二十二条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国家艺术基金管理中心按年度检查项目经费的管理和使用情况，项目主体应当积极配合，如实反映情况，提供相关材料。</w:t>
      </w:r>
    </w:p>
    <w:p w14:paraId="054D4CF7" w14:textId="48780926" w:rsidR="009126AF" w:rsidRPr="0081311D" w:rsidRDefault="009126AF" w:rsidP="0081311D">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第二十三条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国家艺术基金管理中心组织对项目实施全过程预算绩效管理，开展绩效运行监控，结合项目监督</w:t>
      </w:r>
      <w:proofErr w:type="gramStart"/>
      <w:r w:rsidRPr="009126AF">
        <w:rPr>
          <w:rFonts w:ascii="仿宋" w:eastAsia="仿宋" w:hAnsi="仿宋" w:cs="宋体" w:hint="eastAsia"/>
          <w:color w:val="333333"/>
          <w:kern w:val="0"/>
          <w:sz w:val="32"/>
          <w:szCs w:val="32"/>
        </w:rPr>
        <w:t>和结项验收</w:t>
      </w:r>
      <w:proofErr w:type="gramEnd"/>
      <w:r w:rsidRPr="009126AF">
        <w:rPr>
          <w:rFonts w:ascii="仿宋" w:eastAsia="仿宋" w:hAnsi="仿宋" w:cs="宋体" w:hint="eastAsia"/>
          <w:color w:val="333333"/>
          <w:kern w:val="0"/>
          <w:sz w:val="32"/>
          <w:szCs w:val="32"/>
        </w:rPr>
        <w:t>情况，对项目实施绩效自评和重点绩效评价，加强绩</w:t>
      </w:r>
      <w:r w:rsidRPr="009126AF">
        <w:rPr>
          <w:rFonts w:ascii="仿宋" w:eastAsia="仿宋" w:hAnsi="仿宋" w:cs="宋体" w:hint="eastAsia"/>
          <w:color w:val="333333"/>
          <w:kern w:val="0"/>
          <w:sz w:val="32"/>
          <w:szCs w:val="32"/>
        </w:rPr>
        <w:lastRenderedPageBreak/>
        <w:t>效评价结果反馈应用，定期向文化和旅游部、财政部和国家艺术基金理事会报送当年资助项目经费使用、决算情况与绩效目标实现情况，并向社会公告。</w:t>
      </w:r>
    </w:p>
    <w:p w14:paraId="018E46C6" w14:textId="4003DDC2" w:rsidR="009126AF" w:rsidRPr="009126AF" w:rsidRDefault="009126AF" w:rsidP="009126AF">
      <w:pPr>
        <w:widowControl/>
        <w:shd w:val="clear" w:color="auto" w:fill="FFFFFF"/>
        <w:ind w:firstLine="480"/>
        <w:jc w:val="center"/>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第五章 附则</w:t>
      </w:r>
    </w:p>
    <w:p w14:paraId="4A3DBF65" w14:textId="301A924B" w:rsidR="009126AF" w:rsidRPr="009126AF" w:rsidRDefault="009126AF" w:rsidP="009126AF">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第二十四条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本办法由国家艺术基金管理中心负责解释。</w:t>
      </w:r>
    </w:p>
    <w:p w14:paraId="54C0CC53" w14:textId="212B0663" w:rsidR="003C2D76" w:rsidRPr="0081311D" w:rsidRDefault="009126AF" w:rsidP="0081311D">
      <w:pPr>
        <w:widowControl/>
        <w:shd w:val="clear" w:color="auto" w:fill="FFFFFF"/>
        <w:ind w:firstLine="480"/>
        <w:rPr>
          <w:rFonts w:ascii="仿宋" w:eastAsia="仿宋" w:hAnsi="仿宋" w:cs="宋体"/>
          <w:color w:val="333333"/>
          <w:kern w:val="0"/>
          <w:sz w:val="32"/>
          <w:szCs w:val="32"/>
        </w:rPr>
      </w:pPr>
      <w:r w:rsidRPr="009126AF">
        <w:rPr>
          <w:rFonts w:ascii="宋体" w:eastAsia="宋体" w:hAnsi="宋体" w:cs="宋体" w:hint="eastAsia"/>
          <w:b/>
          <w:bCs/>
          <w:color w:val="333333"/>
          <w:kern w:val="0"/>
          <w:sz w:val="32"/>
          <w:szCs w:val="32"/>
        </w:rPr>
        <w:t>第二十五条</w:t>
      </w:r>
      <w:r w:rsidR="0081311D">
        <w:rPr>
          <w:rFonts w:ascii="宋体" w:eastAsia="宋体" w:hAnsi="宋体" w:cs="宋体" w:hint="eastAsia"/>
          <w:b/>
          <w:bCs/>
          <w:color w:val="333333"/>
          <w:kern w:val="0"/>
          <w:sz w:val="32"/>
          <w:szCs w:val="32"/>
        </w:rPr>
        <w:t xml:space="preserve"> </w:t>
      </w:r>
      <w:r w:rsidRPr="009126AF">
        <w:rPr>
          <w:rFonts w:ascii="仿宋" w:eastAsia="仿宋" w:hAnsi="仿宋" w:cs="宋体" w:hint="eastAsia"/>
          <w:color w:val="333333"/>
          <w:kern w:val="0"/>
          <w:sz w:val="32"/>
          <w:szCs w:val="32"/>
        </w:rPr>
        <w:t>本办法自发布之日起试行。</w:t>
      </w:r>
      <w:bookmarkStart w:id="0" w:name="_GoBack"/>
      <w:bookmarkEnd w:id="0"/>
    </w:p>
    <w:sectPr w:rsidR="003C2D76" w:rsidRPr="008131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DEFDF" w14:textId="77777777" w:rsidR="005117AA" w:rsidRDefault="005117AA" w:rsidP="0081311D">
      <w:r>
        <w:separator/>
      </w:r>
    </w:p>
  </w:endnote>
  <w:endnote w:type="continuationSeparator" w:id="0">
    <w:p w14:paraId="5003CA46" w14:textId="77777777" w:rsidR="005117AA" w:rsidRDefault="005117AA" w:rsidP="0081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1BBE4" w14:textId="77777777" w:rsidR="005117AA" w:rsidRDefault="005117AA" w:rsidP="0081311D">
      <w:r>
        <w:separator/>
      </w:r>
    </w:p>
  </w:footnote>
  <w:footnote w:type="continuationSeparator" w:id="0">
    <w:p w14:paraId="2C894D28" w14:textId="77777777" w:rsidR="005117AA" w:rsidRDefault="005117AA" w:rsidP="00813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F"/>
    <w:rsid w:val="003C2D76"/>
    <w:rsid w:val="005117AA"/>
    <w:rsid w:val="0081311D"/>
    <w:rsid w:val="00912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1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31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311D"/>
    <w:rPr>
      <w:sz w:val="18"/>
      <w:szCs w:val="18"/>
    </w:rPr>
  </w:style>
  <w:style w:type="paragraph" w:styleId="a4">
    <w:name w:val="footer"/>
    <w:basedOn w:val="a"/>
    <w:link w:val="Char0"/>
    <w:uiPriority w:val="99"/>
    <w:unhideWhenUsed/>
    <w:rsid w:val="0081311D"/>
    <w:pPr>
      <w:tabs>
        <w:tab w:val="center" w:pos="4153"/>
        <w:tab w:val="right" w:pos="8306"/>
      </w:tabs>
      <w:snapToGrid w:val="0"/>
      <w:jc w:val="left"/>
    </w:pPr>
    <w:rPr>
      <w:sz w:val="18"/>
      <w:szCs w:val="18"/>
    </w:rPr>
  </w:style>
  <w:style w:type="character" w:customStyle="1" w:styleId="Char0">
    <w:name w:val="页脚 Char"/>
    <w:basedOn w:val="a0"/>
    <w:link w:val="a4"/>
    <w:uiPriority w:val="99"/>
    <w:rsid w:val="008131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31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311D"/>
    <w:rPr>
      <w:sz w:val="18"/>
      <w:szCs w:val="18"/>
    </w:rPr>
  </w:style>
  <w:style w:type="paragraph" w:styleId="a4">
    <w:name w:val="footer"/>
    <w:basedOn w:val="a"/>
    <w:link w:val="Char0"/>
    <w:uiPriority w:val="99"/>
    <w:unhideWhenUsed/>
    <w:rsid w:val="0081311D"/>
    <w:pPr>
      <w:tabs>
        <w:tab w:val="center" w:pos="4153"/>
        <w:tab w:val="right" w:pos="8306"/>
      </w:tabs>
      <w:snapToGrid w:val="0"/>
      <w:jc w:val="left"/>
    </w:pPr>
    <w:rPr>
      <w:sz w:val="18"/>
      <w:szCs w:val="18"/>
    </w:rPr>
  </w:style>
  <w:style w:type="character" w:customStyle="1" w:styleId="Char0">
    <w:name w:val="页脚 Char"/>
    <w:basedOn w:val="a0"/>
    <w:link w:val="a4"/>
    <w:uiPriority w:val="99"/>
    <w:rsid w:val="008131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99268">
      <w:bodyDiv w:val="1"/>
      <w:marLeft w:val="0"/>
      <w:marRight w:val="0"/>
      <w:marTop w:val="0"/>
      <w:marBottom w:val="0"/>
      <w:divBdr>
        <w:top w:val="none" w:sz="0" w:space="0" w:color="auto"/>
        <w:left w:val="none" w:sz="0" w:space="0" w:color="auto"/>
        <w:bottom w:val="none" w:sz="0" w:space="0" w:color="auto"/>
        <w:right w:val="none" w:sz="0" w:space="0" w:color="auto"/>
      </w:divBdr>
      <w:divsChild>
        <w:div w:id="215708288">
          <w:marLeft w:val="0"/>
          <w:marRight w:val="0"/>
          <w:marTop w:val="150"/>
          <w:marBottom w:val="225"/>
          <w:divBdr>
            <w:top w:val="none" w:sz="0" w:space="0" w:color="auto"/>
            <w:left w:val="none" w:sz="0" w:space="0" w:color="auto"/>
            <w:bottom w:val="none" w:sz="0" w:space="0" w:color="auto"/>
            <w:right w:val="none" w:sz="0" w:space="0" w:color="auto"/>
          </w:divBdr>
        </w:div>
        <w:div w:id="222639005">
          <w:marLeft w:val="0"/>
          <w:marRight w:val="0"/>
          <w:marTop w:val="0"/>
          <w:marBottom w:val="0"/>
          <w:divBdr>
            <w:top w:val="none" w:sz="0" w:space="0" w:color="auto"/>
            <w:left w:val="none" w:sz="0" w:space="0" w:color="auto"/>
            <w:bottom w:val="none" w:sz="0" w:space="0" w:color="auto"/>
            <w:right w:val="none" w:sz="0" w:space="0" w:color="auto"/>
          </w:divBdr>
          <w:divsChild>
            <w:div w:id="1350181593">
              <w:marLeft w:val="450"/>
              <w:marRight w:val="0"/>
              <w:marTop w:val="0"/>
              <w:marBottom w:val="0"/>
              <w:divBdr>
                <w:top w:val="none" w:sz="0" w:space="0" w:color="auto"/>
                <w:left w:val="none" w:sz="0" w:space="0" w:color="auto"/>
                <w:bottom w:val="none" w:sz="0" w:space="0" w:color="auto"/>
                <w:right w:val="none" w:sz="0" w:space="0" w:color="auto"/>
              </w:divBdr>
            </w:div>
            <w:div w:id="1791974777">
              <w:marLeft w:val="0"/>
              <w:marRight w:val="0"/>
              <w:marTop w:val="0"/>
              <w:marBottom w:val="0"/>
              <w:divBdr>
                <w:top w:val="none" w:sz="0" w:space="0" w:color="auto"/>
                <w:left w:val="none" w:sz="0" w:space="0" w:color="auto"/>
                <w:bottom w:val="none" w:sz="0" w:space="0" w:color="auto"/>
                <w:right w:val="none" w:sz="0" w:space="0" w:color="auto"/>
              </w:divBdr>
            </w:div>
          </w:divsChild>
        </w:div>
        <w:div w:id="59621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yg</dc:creator>
  <cp:keywords/>
  <dc:description/>
  <cp:lastModifiedBy>Windows</cp:lastModifiedBy>
  <cp:revision>2</cp:revision>
  <dcterms:created xsi:type="dcterms:W3CDTF">2022-03-22T06:34:00Z</dcterms:created>
  <dcterms:modified xsi:type="dcterms:W3CDTF">2022-03-23T02:48:00Z</dcterms:modified>
</cp:coreProperties>
</file>